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Općina Ferdinandovac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prirodnim plinom u 2022. godini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65210000-8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 i maziva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i modernizacija javne rasvjete na području Općine Ferdinandovac u 2022. godini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Komunalna usluga održavanja nerazvrstanih cesta i putova (šljunčanjem) u 2022. godini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Deratizacija, dezinsekcija i dezinfekcija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90923000-3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veljača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postojećeg asfaltnog kolnika (krpanje mrežastih pukotina i udarnih rupa)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45233142-6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održavanja makadamskih cesta na području Općine Ferdinandovac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masom za stabilizaciju makadama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rekonstrukcije dijela nerazvrstane ceste NC.20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45233123-7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Obnova objekta "Stara ljekarna" (Trg slobode 30, Ferdinandovac)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i opremanje dječjeg igrališta na Trgu slobode, u naselju Ferdinandovac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Gradnja i opremanje vanjskog vježbališta u Ferdinandovcu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 je prijavljen na javni natječaj za sufinanciranje iz EU sredstava, realizacija ovisi o odobrenju EU sredstava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pomoćnog nogometnog igrališta na Trgu slobode u naselju Ferdinandovac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 je prijavljen na javni natječaj za sufinanciranje iz EU sredstava, realizacija ovisi o odobrenju EU sredstava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i opremanje igrališta Dječjeg vrtića Košutica Ferdinandovac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parka na Trgu slobode u naselju Ferdinandovac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Proširenje parkirališta i uređenje okoliša oko škole na Trgu slobode u naselju Ferdinandovac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45223300-9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staza na mjesnom groblju u Mirogojskoj ulici,  u naselju Ferdinandovac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45236300-3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turističke infrastrukture - poučne staze i vidikovca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45233260-9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Praćenje stanja okoliša (monitoring) saniranog odlagališta otpada "Orl"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90711500-9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računalnih programa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ožujak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Fotonaponska elektrana za objekt dječjeg vrtića Košutica Ferdinandovac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09331200-0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srpanj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 je prijavljen na javni natječaj za sufinanciranje iz Financijskog mehanizama europskog gospodarskog prostora 2014. – 2021. (EEA GRANTS)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28.12.2021 15:30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28.12.2021 15:30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